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1C5D1952" w:rsidR="00E90E49" w:rsidRPr="00326798" w:rsidRDefault="005A79A9" w:rsidP="00E35559">
      <w:pPr>
        <w:pStyle w:val="3GPPHeader"/>
        <w:spacing w:after="60"/>
        <w:rPr>
          <w:sz w:val="28"/>
          <w:szCs w:val="28"/>
        </w:rPr>
      </w:pPr>
      <w:bookmarkStart w:id="0" w:name="_GoBack"/>
      <w:r>
        <w:rPr>
          <w:sz w:val="28"/>
        </w:rPr>
        <w:t>3GPP TSG-RAN WG2</w:t>
      </w:r>
      <w:r w:rsidR="00C95B85">
        <w:rPr>
          <w:sz w:val="28"/>
        </w:rPr>
        <w:t>#99</w:t>
      </w:r>
      <w:r w:rsidR="003D0E00">
        <w:rPr>
          <w:sz w:val="28"/>
        </w:rPr>
        <w:t>bis</w:t>
      </w:r>
      <w:r w:rsidR="0092381E" w:rsidRPr="0030740B">
        <w:rPr>
          <w:sz w:val="28"/>
          <w:szCs w:val="28"/>
        </w:rPr>
        <w:tab/>
        <w:t xml:space="preserve">Tdoc </w:t>
      </w:r>
      <w:r w:rsidR="00802991" w:rsidRPr="00802991">
        <w:rPr>
          <w:sz w:val="28"/>
          <w:szCs w:val="28"/>
        </w:rPr>
        <w:t>R2-1710382</w:t>
      </w:r>
    </w:p>
    <w:p w14:paraId="56C12257" w14:textId="75E9D734" w:rsidR="00E90E49" w:rsidRPr="00CA4021" w:rsidRDefault="003D0E00" w:rsidP="00357380">
      <w:pPr>
        <w:pStyle w:val="3GPPHeader"/>
        <w:rPr>
          <w:lang w:val="en-US"/>
        </w:rPr>
      </w:pPr>
      <w:r>
        <w:t>Prague, Czech Republic</w:t>
      </w:r>
      <w:r w:rsidR="00C95B85">
        <w:t xml:space="preserve">, </w:t>
      </w:r>
      <w:r>
        <w:t>August 9-13</w:t>
      </w:r>
      <w:r w:rsidR="00C95B85">
        <w:t>, 2017</w:t>
      </w:r>
      <w:r w:rsidR="00A9292E">
        <w:tab/>
      </w:r>
    </w:p>
    <w:p w14:paraId="4A4F422A" w14:textId="0E104237" w:rsidR="00E90E49" w:rsidRPr="00C95B85" w:rsidRDefault="00E90E49" w:rsidP="00311702">
      <w:pPr>
        <w:pStyle w:val="3GPPHeader"/>
        <w:rPr>
          <w:sz w:val="22"/>
          <w:szCs w:val="22"/>
          <w:lang w:val="en-US"/>
        </w:rPr>
      </w:pPr>
      <w:r w:rsidRPr="00CA4021">
        <w:rPr>
          <w:sz w:val="22"/>
          <w:szCs w:val="22"/>
          <w:lang w:val="en-US"/>
        </w:rPr>
        <w:t>Agenda Item:</w:t>
      </w:r>
      <w:r w:rsidRPr="00CA4021">
        <w:rPr>
          <w:sz w:val="22"/>
          <w:szCs w:val="22"/>
          <w:lang w:val="en-US"/>
        </w:rPr>
        <w:tab/>
      </w:r>
      <w:r w:rsidR="00634A50" w:rsidRPr="00634A50">
        <w:rPr>
          <w:sz w:val="22"/>
          <w:szCs w:val="22"/>
          <w:lang w:val="en-US"/>
        </w:rPr>
        <w:t>10.4.1.6.1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043622D" w:rsidR="00E90E49" w:rsidRPr="00CE0424" w:rsidRDefault="003D3C45" w:rsidP="00311702">
      <w:pPr>
        <w:pStyle w:val="3GPPHeader"/>
        <w:rPr>
          <w:sz w:val="22"/>
          <w:szCs w:val="22"/>
        </w:rPr>
      </w:pPr>
      <w:r>
        <w:rPr>
          <w:sz w:val="22"/>
          <w:szCs w:val="22"/>
        </w:rPr>
        <w:t>Title:</w:t>
      </w:r>
      <w:r w:rsidR="00E90E49" w:rsidRPr="00CE0424">
        <w:rPr>
          <w:sz w:val="22"/>
          <w:szCs w:val="22"/>
        </w:rPr>
        <w:tab/>
      </w:r>
      <w:r w:rsidR="00F60323">
        <w:rPr>
          <w:sz w:val="22"/>
          <w:szCs w:val="22"/>
        </w:rPr>
        <w:t>Open issues on MIB contents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3871EE3C" w14:textId="77777777" w:rsidR="00492A9D" w:rsidRPr="00CE0424" w:rsidRDefault="00492A9D" w:rsidP="00492A9D"/>
    <w:p w14:paraId="05CD4AF1" w14:textId="77777777" w:rsidR="00492A9D" w:rsidRPr="00CE0424" w:rsidRDefault="00492A9D" w:rsidP="00492A9D">
      <w:pPr>
        <w:pStyle w:val="Heading1"/>
      </w:pPr>
      <w:r w:rsidRPr="00CE0424">
        <w:t>Introduction</w:t>
      </w:r>
    </w:p>
    <w:p w14:paraId="2D5D3F8B" w14:textId="0826EDC8" w:rsidR="00F60323" w:rsidRDefault="00F60323" w:rsidP="00F60323">
      <w:pPr>
        <w:pStyle w:val="BodyText"/>
        <w:rPr>
          <w:lang w:eastAsia="ja-JP"/>
        </w:rPr>
      </w:pPr>
      <w:r>
        <w:t xml:space="preserve">The contents of the MIB have been agreed to a great extent in RAN1 and RAN2. The RAN1 agreements were provided to RAN2 in </w:t>
      </w:r>
      <w:r w:rsidR="00802991">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0323" w:rsidRPr="00BB3813" w14:paraId="7FDDECAE" w14:textId="77777777" w:rsidTr="008011C8">
        <w:tc>
          <w:tcPr>
            <w:tcW w:w="10063" w:type="dxa"/>
            <w:shd w:val="clear" w:color="auto" w:fill="auto"/>
          </w:tcPr>
          <w:p w14:paraId="6D5B9408" w14:textId="77777777" w:rsidR="00F60323" w:rsidRPr="00F67AE0" w:rsidRDefault="00F60323" w:rsidP="008011C8">
            <w:pPr>
              <w:rPr>
                <w:b/>
                <w:highlight w:val="green"/>
                <w:u w:val="single"/>
                <w:lang w:eastAsia="ja-JP"/>
              </w:rPr>
            </w:pPr>
            <w:r w:rsidRPr="00F67AE0">
              <w:rPr>
                <w:b/>
                <w:highlight w:val="green"/>
                <w:u w:val="single"/>
                <w:lang w:eastAsia="ja-JP"/>
              </w:rPr>
              <w:t>Agreement</w:t>
            </w:r>
            <w:r>
              <w:rPr>
                <w:rFonts w:hint="eastAsia"/>
                <w:b/>
                <w:highlight w:val="green"/>
                <w:u w:val="single"/>
                <w:lang w:eastAsia="ja-JP"/>
              </w:rPr>
              <w:t>s</w:t>
            </w:r>
            <w:r w:rsidRPr="00F67AE0">
              <w:rPr>
                <w:b/>
                <w:highlight w:val="green"/>
                <w:u w:val="single"/>
                <w:lang w:eastAsia="ja-JP"/>
              </w:rPr>
              <w:t xml:space="preserve">: </w:t>
            </w:r>
          </w:p>
          <w:p w14:paraId="6D4ADD42" w14:textId="77777777" w:rsidR="00F60323" w:rsidRDefault="00F60323" w:rsidP="00F60323">
            <w:pPr>
              <w:numPr>
                <w:ilvl w:val="0"/>
                <w:numId w:val="30"/>
              </w:numPr>
              <w:overflowPunct/>
              <w:autoSpaceDE/>
              <w:autoSpaceDN/>
              <w:adjustRightInd/>
              <w:spacing w:after="0"/>
              <w:jc w:val="left"/>
              <w:textAlignment w:val="auto"/>
              <w:rPr>
                <w:lang w:eastAsia="ja-JP"/>
              </w:rPr>
            </w:pPr>
            <w:r w:rsidRPr="00360C41">
              <w:rPr>
                <w:rFonts w:hint="eastAsia"/>
                <w:b/>
                <w:highlight w:val="darkYellow"/>
                <w:lang w:eastAsia="ja-JP"/>
              </w:rPr>
              <w:t>Working assumption:</w:t>
            </w:r>
            <w:r>
              <w:rPr>
                <w:rFonts w:hint="eastAsia"/>
                <w:lang w:eastAsia="ja-JP"/>
              </w:rPr>
              <w:t xml:space="preserve"> </w:t>
            </w:r>
            <w:r w:rsidRPr="006A0351">
              <w:rPr>
                <w:lang w:eastAsia="ja-JP"/>
              </w:rPr>
              <w:t>3 bits of SS block index are carried by changing the DMRS sequence within each 5ms period</w:t>
            </w:r>
          </w:p>
          <w:p w14:paraId="6C170B9C" w14:textId="77777777" w:rsidR="00F60323" w:rsidRPr="00600E36" w:rsidRDefault="00F60323" w:rsidP="00F60323">
            <w:pPr>
              <w:numPr>
                <w:ilvl w:val="1"/>
                <w:numId w:val="30"/>
              </w:numPr>
              <w:overflowPunct/>
              <w:autoSpaceDE/>
              <w:autoSpaceDN/>
              <w:adjustRightInd/>
              <w:spacing w:after="0"/>
              <w:jc w:val="left"/>
              <w:textAlignment w:val="auto"/>
              <w:rPr>
                <w:lang w:eastAsia="ja-JP"/>
              </w:rPr>
            </w:pPr>
            <w:r w:rsidRPr="00600E36">
              <w:rPr>
                <w:lang w:eastAsia="ja-JP"/>
              </w:rPr>
              <w:t>It can be further considered to limit the number of bits carried in this way to 2 if carrying 3 bits is shown to cause problems</w:t>
            </w:r>
          </w:p>
          <w:p w14:paraId="4B254965" w14:textId="77777777" w:rsidR="00F60323" w:rsidRDefault="00F60323" w:rsidP="00F60323">
            <w:pPr>
              <w:numPr>
                <w:ilvl w:val="0"/>
                <w:numId w:val="30"/>
              </w:numPr>
              <w:overflowPunct/>
              <w:autoSpaceDE/>
              <w:autoSpaceDN/>
              <w:adjustRightInd/>
              <w:spacing w:after="0"/>
              <w:jc w:val="left"/>
              <w:textAlignment w:val="auto"/>
              <w:rPr>
                <w:lang w:eastAsia="ja-JP"/>
              </w:rPr>
            </w:pPr>
            <w:r>
              <w:rPr>
                <w:rFonts w:hint="eastAsia"/>
                <w:lang w:eastAsia="ja-JP"/>
              </w:rPr>
              <w:t xml:space="preserve">FFS: details of  </w:t>
            </w:r>
            <w:r w:rsidRPr="00600E36">
              <w:rPr>
                <w:lang w:eastAsia="ja-JP"/>
              </w:rPr>
              <w:t>scrambling of the PBCH</w:t>
            </w:r>
            <w:r>
              <w:rPr>
                <w:rFonts w:hint="eastAsia"/>
                <w:lang w:eastAsia="ja-JP"/>
              </w:rPr>
              <w:t xml:space="preserve"> which may or may not carry a part of timing information</w:t>
            </w:r>
          </w:p>
          <w:p w14:paraId="707D8CEB" w14:textId="77777777" w:rsidR="00F60323" w:rsidRPr="00600E36" w:rsidRDefault="00F60323" w:rsidP="00F60323">
            <w:pPr>
              <w:numPr>
                <w:ilvl w:val="0"/>
                <w:numId w:val="30"/>
              </w:numPr>
              <w:overflowPunct/>
              <w:autoSpaceDE/>
              <w:autoSpaceDN/>
              <w:adjustRightInd/>
              <w:spacing w:after="0"/>
              <w:jc w:val="left"/>
              <w:textAlignment w:val="auto"/>
              <w:rPr>
                <w:lang w:eastAsia="ja-JP"/>
              </w:rPr>
            </w:pPr>
            <w:r>
              <w:rPr>
                <w:rFonts w:hint="eastAsia"/>
                <w:lang w:eastAsia="ja-JP"/>
              </w:rPr>
              <w:t>FFS: 5 ms half radio frame interval indication</w:t>
            </w:r>
          </w:p>
          <w:p w14:paraId="1B93FC6C" w14:textId="77777777" w:rsidR="00F60323" w:rsidRDefault="00F60323" w:rsidP="00F60323">
            <w:pPr>
              <w:numPr>
                <w:ilvl w:val="0"/>
                <w:numId w:val="30"/>
              </w:numPr>
              <w:overflowPunct/>
              <w:autoSpaceDE/>
              <w:autoSpaceDN/>
              <w:adjustRightInd/>
              <w:spacing w:after="0"/>
              <w:jc w:val="left"/>
              <w:textAlignment w:val="auto"/>
              <w:rPr>
                <w:lang w:eastAsia="ja-JP"/>
              </w:rPr>
            </w:pPr>
            <w:r>
              <w:rPr>
                <w:lang w:eastAsia="ja-JP"/>
              </w:rPr>
              <w:t xml:space="preserve">Remaining bits of the timing </w:t>
            </w:r>
            <w:r>
              <w:rPr>
                <w:rFonts w:hint="eastAsia"/>
                <w:lang w:eastAsia="ja-JP"/>
              </w:rPr>
              <w:t>information</w:t>
            </w:r>
            <w:r>
              <w:rPr>
                <w:lang w:eastAsia="ja-JP"/>
              </w:rPr>
              <w:t xml:space="preserve"> are carried explicitly in the NR-PBCH payload</w:t>
            </w:r>
          </w:p>
          <w:p w14:paraId="17478830" w14:textId="77777777" w:rsidR="00F60323" w:rsidRPr="002C60AF" w:rsidRDefault="00F60323" w:rsidP="008011C8">
            <w:pPr>
              <w:rPr>
                <w:lang w:eastAsia="ja-JP"/>
              </w:rPr>
            </w:pPr>
          </w:p>
          <w:p w14:paraId="2E4061D2" w14:textId="77777777" w:rsidR="00F60323" w:rsidRPr="00A55F83" w:rsidRDefault="00F60323" w:rsidP="008011C8">
            <w:pPr>
              <w:rPr>
                <w:b/>
                <w:u w:val="single"/>
                <w:lang w:eastAsia="ja-JP"/>
              </w:rPr>
            </w:pPr>
            <w:r w:rsidRPr="00C60428">
              <w:rPr>
                <w:rFonts w:hint="eastAsia"/>
                <w:b/>
                <w:highlight w:val="green"/>
                <w:u w:val="single"/>
                <w:lang w:eastAsia="ja-JP"/>
              </w:rPr>
              <w:t>Agreements:</w:t>
            </w:r>
          </w:p>
          <w:p w14:paraId="76F57A98" w14:textId="77777777" w:rsidR="00F60323" w:rsidRDefault="00F60323" w:rsidP="00F60323">
            <w:pPr>
              <w:numPr>
                <w:ilvl w:val="0"/>
                <w:numId w:val="30"/>
              </w:numPr>
              <w:overflowPunct/>
              <w:autoSpaceDE/>
              <w:autoSpaceDN/>
              <w:adjustRightInd/>
              <w:spacing w:after="0"/>
              <w:jc w:val="left"/>
              <w:textAlignment w:val="auto"/>
              <w:rPr>
                <w:lang w:eastAsia="ja-JP"/>
              </w:rPr>
            </w:pPr>
            <w:r>
              <w:rPr>
                <w:rFonts w:hint="eastAsia"/>
                <w:lang w:eastAsia="ja-JP"/>
              </w:rPr>
              <w:t>An</w:t>
            </w:r>
            <w:r w:rsidRPr="00407E68">
              <w:rPr>
                <w:rFonts w:hint="eastAsia"/>
                <w:lang w:eastAsia="ja-JP"/>
              </w:rPr>
              <w:t xml:space="preserve"> indication </w:t>
            </w:r>
            <w:r>
              <w:rPr>
                <w:rFonts w:hint="eastAsia"/>
                <w:lang w:eastAsia="ja-JP"/>
              </w:rPr>
              <w:t xml:space="preserve">related to the synchronization information </w:t>
            </w:r>
            <w:r w:rsidRPr="00407E68">
              <w:rPr>
                <w:rFonts w:hint="eastAsia"/>
                <w:lang w:eastAsia="ja-JP"/>
              </w:rPr>
              <w:t xml:space="preserve">is </w:t>
            </w:r>
            <w:r>
              <w:rPr>
                <w:rFonts w:hint="eastAsia"/>
                <w:lang w:eastAsia="ja-JP"/>
              </w:rPr>
              <w:t>provided to the UE</w:t>
            </w:r>
          </w:p>
          <w:p w14:paraId="426D1A18" w14:textId="77777777" w:rsidR="00F60323" w:rsidRDefault="00F60323" w:rsidP="00F60323">
            <w:pPr>
              <w:numPr>
                <w:ilvl w:val="1"/>
                <w:numId w:val="30"/>
              </w:numPr>
              <w:overflowPunct/>
              <w:autoSpaceDE/>
              <w:autoSpaceDN/>
              <w:adjustRightInd/>
              <w:spacing w:after="0"/>
              <w:jc w:val="left"/>
              <w:textAlignment w:val="auto"/>
              <w:rPr>
                <w:lang w:eastAsia="ja-JP"/>
              </w:rPr>
            </w:pPr>
            <w:r>
              <w:rPr>
                <w:rFonts w:hint="eastAsia"/>
                <w:lang w:eastAsia="ja-JP"/>
              </w:rPr>
              <w:t>When there is the</w:t>
            </w:r>
            <w:r w:rsidRPr="00A55F83">
              <w:rPr>
                <w:rFonts w:hint="eastAsia"/>
                <w:lang w:eastAsia="ja-JP"/>
              </w:rPr>
              <w:t xml:space="preserve"> indication for a carrier, UE can utilize serving cell timing to</w:t>
            </w:r>
            <w:r>
              <w:rPr>
                <w:rFonts w:hint="eastAsia"/>
                <w:lang w:eastAsia="ja-JP"/>
              </w:rPr>
              <w:t xml:space="preserve"> derive the index of SS block transmitted by </w:t>
            </w:r>
            <w:r>
              <w:rPr>
                <w:lang w:eastAsia="ja-JP"/>
              </w:rPr>
              <w:t>neighbour</w:t>
            </w:r>
            <w:r>
              <w:rPr>
                <w:rFonts w:hint="eastAsia"/>
                <w:lang w:eastAsia="ja-JP"/>
              </w:rPr>
              <w:t xml:space="preserve"> cell (e.g., radio frame or SFN or symbol level synchronization)</w:t>
            </w:r>
          </w:p>
          <w:p w14:paraId="6E8EF4BD" w14:textId="77777777" w:rsidR="00F60323" w:rsidRPr="00A42999" w:rsidRDefault="00F60323" w:rsidP="00F60323">
            <w:pPr>
              <w:numPr>
                <w:ilvl w:val="1"/>
                <w:numId w:val="30"/>
              </w:numPr>
              <w:overflowPunct/>
              <w:autoSpaceDE/>
              <w:autoSpaceDN/>
              <w:adjustRightInd/>
              <w:spacing w:after="0"/>
              <w:jc w:val="left"/>
              <w:textAlignment w:val="auto"/>
              <w:rPr>
                <w:highlight w:val="yellow"/>
                <w:lang w:eastAsia="ja-JP"/>
              </w:rPr>
            </w:pPr>
            <w:r w:rsidRPr="00A42999">
              <w:rPr>
                <w:rFonts w:hint="eastAsia"/>
                <w:highlight w:val="yellow"/>
                <w:lang w:eastAsia="ja-JP"/>
              </w:rPr>
              <w:t xml:space="preserve">Note that it is up to </w:t>
            </w:r>
            <w:r w:rsidRPr="00A42999">
              <w:rPr>
                <w:highlight w:val="yellow"/>
                <w:lang w:eastAsia="ja-JP"/>
              </w:rPr>
              <w:t xml:space="preserve">RAN2 </w:t>
            </w:r>
            <w:r w:rsidRPr="00A42999">
              <w:rPr>
                <w:rFonts w:hint="eastAsia"/>
                <w:highlight w:val="yellow"/>
                <w:lang w:eastAsia="ja-JP"/>
              </w:rPr>
              <w:t>how to provide this indication</w:t>
            </w:r>
          </w:p>
          <w:p w14:paraId="7D4FF7AF" w14:textId="77777777" w:rsidR="00F60323" w:rsidRPr="00073685" w:rsidRDefault="00F60323" w:rsidP="00F60323">
            <w:pPr>
              <w:numPr>
                <w:ilvl w:val="1"/>
                <w:numId w:val="30"/>
              </w:numPr>
              <w:overflowPunct/>
              <w:autoSpaceDE/>
              <w:autoSpaceDN/>
              <w:adjustRightInd/>
              <w:spacing w:after="0"/>
              <w:jc w:val="left"/>
              <w:textAlignment w:val="auto"/>
              <w:rPr>
                <w:lang w:eastAsia="ja-JP"/>
              </w:rPr>
            </w:pPr>
            <w:r>
              <w:rPr>
                <w:rFonts w:hint="eastAsia"/>
                <w:lang w:eastAsia="ja-JP"/>
              </w:rPr>
              <w:t>Note that it is up to RAN4 about the feasibility of synchronization and its requirement</w:t>
            </w:r>
          </w:p>
        </w:tc>
      </w:tr>
    </w:tbl>
    <w:p w14:paraId="7FCDD601" w14:textId="77777777" w:rsidR="00F60323" w:rsidRPr="003A6E74" w:rsidRDefault="00F60323" w:rsidP="00F60323">
      <w:pPr>
        <w:rPr>
          <w:lang w:eastAsia="ja-JP"/>
        </w:rPr>
      </w:pPr>
    </w:p>
    <w:p w14:paraId="545E73A1" w14:textId="5107F20D" w:rsidR="00D6537B" w:rsidRDefault="00D6537B" w:rsidP="00492A9D">
      <w:pPr>
        <w:pStyle w:val="BodyText"/>
      </w:pPr>
      <w:r>
        <w:t xml:space="preserve">These agreements have further been clarified in the RAN1 LS on physical layer parameters in </w:t>
      </w:r>
      <w:r w:rsidRPr="00802991">
        <w:t>[</w:t>
      </w:r>
      <w:r w:rsidR="00802991">
        <w:t>2</w:t>
      </w:r>
      <w:r w:rsidR="00802991" w:rsidRPr="00802991">
        <w:t>]</w:t>
      </w:r>
      <w:r w:rsidR="00802991">
        <w:t>.</w:t>
      </w:r>
    </w:p>
    <w:p w14:paraId="6D6E31B5" w14:textId="1B6ACD8C" w:rsidR="00F60323" w:rsidRDefault="00F60323" w:rsidP="00492A9D">
      <w:pPr>
        <w:pStyle w:val="BodyText"/>
      </w:pPr>
      <w:r>
        <w:t>During RAN2#99, it was clarified that the synchronization information is not included in the MIB</w:t>
      </w:r>
      <w:r w:rsidR="003811A5">
        <w:t xml:space="preserve">, and will not be discussed in this contribution further. </w:t>
      </w:r>
    </w:p>
    <w:p w14:paraId="393C98D3" w14:textId="77777777" w:rsidR="00F60323" w:rsidRDefault="00F60323" w:rsidP="00F60323">
      <w:pPr>
        <w:pStyle w:val="Doc-text2"/>
      </w:pPr>
    </w:p>
    <w:p w14:paraId="64BF9A16"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r>
        <w:t xml:space="preserve">Working assumption </w:t>
      </w:r>
    </w:p>
    <w:p w14:paraId="25872A1E"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r>
        <w:t>1:</w:t>
      </w:r>
      <w:r>
        <w:tab/>
        <w:t>1 bit (final name FFS, but same UE behaviour as cellbarred in LTE) is included in NR MIB to indicate that a cell cannot be camped on. intraFreqReselection is 'not allowed' (not signalled). BarredTimer is specified, value FFS.</w:t>
      </w:r>
    </w:p>
    <w:p w14:paraId="4D67787F"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r>
        <w:tab/>
        <w:t>cellBarred and intraFreqReselection signalling in SIB1 (as in LTE)</w:t>
      </w:r>
    </w:p>
    <w:p w14:paraId="15867170"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p>
    <w:p w14:paraId="61BA8C3C"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r>
        <w:t>Agreements</w:t>
      </w:r>
    </w:p>
    <w:p w14:paraId="4CA2BCA0"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r>
        <w:t>2:</w:t>
      </w:r>
      <w:r>
        <w:tab/>
        <w:t>Synchronisation information (1 bit) is provided to inform that the UE can utilise serving cell timing to derive the index of SS-block transmitted by neighbour cell (e.g. radio frame or SFN or symbol level synchronisation).</w:t>
      </w:r>
    </w:p>
    <w:p w14:paraId="1A2B365F"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r>
        <w:t>3:</w:t>
      </w:r>
      <w:r>
        <w:tab/>
        <w:t>The synchronisation information can be provided via both dedicated RRC signalling and broadcast, but not via NR MIB.</w:t>
      </w:r>
    </w:p>
    <w:p w14:paraId="06D191BD" w14:textId="77777777" w:rsidR="00F60323" w:rsidRDefault="00F60323" w:rsidP="00F60323">
      <w:pPr>
        <w:pStyle w:val="Doc-text2"/>
        <w:pBdr>
          <w:top w:val="single" w:sz="4" w:space="1" w:color="auto"/>
          <w:left w:val="single" w:sz="4" w:space="4" w:color="auto"/>
          <w:bottom w:val="single" w:sz="4" w:space="1" w:color="auto"/>
          <w:right w:val="single" w:sz="4" w:space="4" w:color="auto"/>
        </w:pBdr>
      </w:pPr>
      <w:r>
        <w:t>FFS on the location of the bit in the SIBs</w:t>
      </w:r>
    </w:p>
    <w:p w14:paraId="30D0AE1E" w14:textId="77777777" w:rsidR="00F60323" w:rsidRDefault="00F60323" w:rsidP="00F60323">
      <w:pPr>
        <w:pStyle w:val="Doc-text2"/>
      </w:pPr>
    </w:p>
    <w:p w14:paraId="2FC0BC8B" w14:textId="044EBBA9" w:rsidR="00492A9D" w:rsidRPr="00E435F8" w:rsidRDefault="00492A9D" w:rsidP="00492A9D">
      <w:pPr>
        <w:pStyle w:val="BodyText"/>
        <w:rPr>
          <w:rFonts w:ascii="Times New Roman" w:eastAsia="MS Mincho" w:hAnsi="Times New Roman"/>
          <w:lang w:val="en-US" w:eastAsia="ja-JP"/>
        </w:rPr>
      </w:pPr>
      <w:r>
        <w:t xml:space="preserve">In this contribution, we analyse the </w:t>
      </w:r>
      <w:r w:rsidR="00F60323">
        <w:t>remaining open issues in the MIB contents</w:t>
      </w:r>
      <w:r>
        <w:t xml:space="preserve">. </w:t>
      </w:r>
    </w:p>
    <w:p w14:paraId="100DF4CB" w14:textId="77777777" w:rsidR="00492A9D" w:rsidRDefault="00492A9D" w:rsidP="00492A9D">
      <w:pPr>
        <w:pStyle w:val="Heading1"/>
      </w:pPr>
      <w:bookmarkStart w:id="1" w:name="_Ref178064866"/>
      <w:r w:rsidRPr="00CE0424">
        <w:lastRenderedPageBreak/>
        <w:t>Discussion</w:t>
      </w:r>
      <w:bookmarkEnd w:id="1"/>
    </w:p>
    <w:p w14:paraId="1ED496A4" w14:textId="41B682EE" w:rsidR="00B6182E" w:rsidRDefault="00F60323" w:rsidP="00F60323">
      <w:r>
        <w:t xml:space="preserve">The RAN1 agreements </w:t>
      </w:r>
      <w:r w:rsidR="00CD4EC2">
        <w:t>on the physical layer configuration included in MIB are listed in the table below</w:t>
      </w:r>
      <w:r w:rsidR="00B6182E">
        <w:t xml:space="preserve"> and are included in the outcome of the email discussion [99#22]</w:t>
      </w:r>
    </w:p>
    <w:p w14:paraId="3C41B9F0" w14:textId="1CAD8938" w:rsidR="00B6182E" w:rsidRDefault="00B6182E" w:rsidP="00F60323"/>
    <w:tbl>
      <w:tblPr>
        <w:tblW w:w="10407" w:type="dxa"/>
        <w:tblInd w:w="-10" w:type="dxa"/>
        <w:tblLook w:val="04A0" w:firstRow="1" w:lastRow="0" w:firstColumn="1" w:lastColumn="0" w:noHBand="0" w:noVBand="1"/>
      </w:tblPr>
      <w:tblGrid>
        <w:gridCol w:w="2279"/>
        <w:gridCol w:w="2338"/>
        <w:gridCol w:w="3752"/>
        <w:gridCol w:w="2038"/>
      </w:tblGrid>
      <w:tr w:rsidR="00B6182E" w:rsidRPr="00B6182E" w14:paraId="6237CE72" w14:textId="77777777" w:rsidTr="00B6182E">
        <w:trPr>
          <w:trHeight w:val="249"/>
        </w:trPr>
        <w:tc>
          <w:tcPr>
            <w:tcW w:w="2279" w:type="dxa"/>
            <w:tcBorders>
              <w:top w:val="single" w:sz="4" w:space="0" w:color="auto"/>
              <w:left w:val="single" w:sz="4" w:space="0" w:color="auto"/>
              <w:bottom w:val="single" w:sz="4" w:space="0" w:color="auto"/>
              <w:right w:val="single" w:sz="4" w:space="0" w:color="auto"/>
            </w:tcBorders>
            <w:shd w:val="clear" w:color="000000" w:fill="9BBB59"/>
            <w:vAlign w:val="center"/>
            <w:hideMark/>
          </w:tcPr>
          <w:p w14:paraId="070F4662" w14:textId="77777777" w:rsidR="00B6182E" w:rsidRPr="00B6182E" w:rsidRDefault="00B6182E" w:rsidP="00B6182E">
            <w:pPr>
              <w:overflowPunct/>
              <w:autoSpaceDE/>
              <w:autoSpaceDN/>
              <w:adjustRightInd/>
              <w:spacing w:after="0"/>
              <w:jc w:val="left"/>
              <w:textAlignment w:val="auto"/>
              <w:rPr>
                <w:rFonts w:cs="Arial"/>
                <w:b/>
                <w:sz w:val="16"/>
                <w:szCs w:val="16"/>
                <w:lang w:val="en-US" w:eastAsia="en-US"/>
              </w:rPr>
            </w:pPr>
            <w:r w:rsidRPr="00B6182E">
              <w:rPr>
                <w:rFonts w:cs="Arial"/>
                <w:b/>
                <w:sz w:val="16"/>
                <w:szCs w:val="16"/>
                <w:lang w:val="en-US" w:eastAsia="en-US"/>
              </w:rPr>
              <w:t>Parameter name in RAN1 specification</w:t>
            </w:r>
          </w:p>
        </w:tc>
        <w:tc>
          <w:tcPr>
            <w:tcW w:w="2338" w:type="dxa"/>
            <w:tcBorders>
              <w:top w:val="single" w:sz="4" w:space="0" w:color="auto"/>
              <w:left w:val="nil"/>
              <w:bottom w:val="single" w:sz="4" w:space="0" w:color="auto"/>
              <w:right w:val="single" w:sz="4" w:space="0" w:color="auto"/>
            </w:tcBorders>
            <w:shd w:val="clear" w:color="auto" w:fill="auto"/>
            <w:vAlign w:val="center"/>
            <w:hideMark/>
          </w:tcPr>
          <w:p w14:paraId="700BD618" w14:textId="77777777" w:rsidR="00B6182E" w:rsidRPr="00B6182E" w:rsidRDefault="00B6182E" w:rsidP="00B6182E">
            <w:pPr>
              <w:overflowPunct/>
              <w:autoSpaceDE/>
              <w:autoSpaceDN/>
              <w:adjustRightInd/>
              <w:spacing w:after="0"/>
              <w:jc w:val="left"/>
              <w:textAlignment w:val="auto"/>
              <w:rPr>
                <w:rFonts w:cs="Arial"/>
                <w:b/>
                <w:sz w:val="16"/>
                <w:szCs w:val="16"/>
                <w:lang w:val="en-US" w:eastAsia="en-US"/>
              </w:rPr>
            </w:pPr>
            <w:r w:rsidRPr="00B6182E">
              <w:rPr>
                <w:rFonts w:cs="Arial"/>
                <w:b/>
                <w:sz w:val="16"/>
                <w:szCs w:val="16"/>
                <w:lang w:val="en-US" w:eastAsia="en-US"/>
              </w:rPr>
              <w:t>Parameter name in text</w:t>
            </w:r>
          </w:p>
        </w:tc>
        <w:tc>
          <w:tcPr>
            <w:tcW w:w="3752" w:type="dxa"/>
            <w:tcBorders>
              <w:top w:val="single" w:sz="4" w:space="0" w:color="auto"/>
              <w:left w:val="nil"/>
              <w:bottom w:val="single" w:sz="4" w:space="0" w:color="auto"/>
              <w:right w:val="single" w:sz="4" w:space="0" w:color="auto"/>
            </w:tcBorders>
            <w:shd w:val="clear" w:color="auto" w:fill="auto"/>
            <w:vAlign w:val="center"/>
            <w:hideMark/>
          </w:tcPr>
          <w:p w14:paraId="11215547" w14:textId="77777777" w:rsidR="00B6182E" w:rsidRPr="00B6182E" w:rsidRDefault="00B6182E" w:rsidP="00B6182E">
            <w:pPr>
              <w:overflowPunct/>
              <w:autoSpaceDE/>
              <w:autoSpaceDN/>
              <w:adjustRightInd/>
              <w:spacing w:after="0"/>
              <w:jc w:val="left"/>
              <w:textAlignment w:val="auto"/>
              <w:rPr>
                <w:rFonts w:cs="Arial"/>
                <w:b/>
                <w:sz w:val="16"/>
                <w:szCs w:val="16"/>
                <w:lang w:val="en-US" w:eastAsia="en-US"/>
              </w:rPr>
            </w:pPr>
            <w:r w:rsidRPr="00B6182E">
              <w:rPr>
                <w:rFonts w:cs="Arial"/>
                <w:b/>
                <w:sz w:val="16"/>
                <w:szCs w:val="16"/>
                <w:lang w:val="en-US" w:eastAsia="en-US"/>
              </w:rPr>
              <w:t>Description</w:t>
            </w:r>
          </w:p>
        </w:tc>
        <w:tc>
          <w:tcPr>
            <w:tcW w:w="2038" w:type="dxa"/>
            <w:tcBorders>
              <w:top w:val="single" w:sz="4" w:space="0" w:color="auto"/>
              <w:left w:val="nil"/>
              <w:bottom w:val="single" w:sz="4" w:space="0" w:color="auto"/>
              <w:right w:val="single" w:sz="4" w:space="0" w:color="auto"/>
            </w:tcBorders>
            <w:shd w:val="clear" w:color="auto" w:fill="auto"/>
            <w:vAlign w:val="center"/>
            <w:hideMark/>
          </w:tcPr>
          <w:p w14:paraId="46D13054" w14:textId="77777777" w:rsidR="00B6182E" w:rsidRPr="00B6182E" w:rsidRDefault="00B6182E" w:rsidP="00B6182E">
            <w:pPr>
              <w:overflowPunct/>
              <w:autoSpaceDE/>
              <w:autoSpaceDN/>
              <w:adjustRightInd/>
              <w:spacing w:after="0"/>
              <w:jc w:val="left"/>
              <w:textAlignment w:val="auto"/>
              <w:rPr>
                <w:rFonts w:cs="Arial"/>
                <w:b/>
                <w:sz w:val="16"/>
                <w:szCs w:val="16"/>
                <w:lang w:val="en-US" w:eastAsia="en-US"/>
              </w:rPr>
            </w:pPr>
            <w:r w:rsidRPr="00B6182E">
              <w:rPr>
                <w:rFonts w:cs="Arial"/>
                <w:b/>
                <w:sz w:val="16"/>
                <w:szCs w:val="16"/>
                <w:lang w:val="en-US" w:eastAsia="en-US"/>
              </w:rPr>
              <w:t>Value range</w:t>
            </w:r>
          </w:p>
        </w:tc>
      </w:tr>
      <w:tr w:rsidR="00B6182E" w:rsidRPr="00B6182E" w14:paraId="66D5C2FD" w14:textId="77777777" w:rsidTr="00B6182E">
        <w:trPr>
          <w:trHeight w:val="249"/>
        </w:trPr>
        <w:tc>
          <w:tcPr>
            <w:tcW w:w="2279" w:type="dxa"/>
            <w:tcBorders>
              <w:top w:val="single" w:sz="4" w:space="0" w:color="auto"/>
              <w:left w:val="single" w:sz="4" w:space="0" w:color="auto"/>
              <w:bottom w:val="single" w:sz="4" w:space="0" w:color="auto"/>
              <w:right w:val="single" w:sz="4" w:space="0" w:color="auto"/>
            </w:tcBorders>
            <w:shd w:val="clear" w:color="000000" w:fill="9BBB59"/>
            <w:vAlign w:val="center"/>
          </w:tcPr>
          <w:p w14:paraId="07569D29" w14:textId="6FD168BC"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SSB-index-explicit</w:t>
            </w:r>
          </w:p>
        </w:tc>
        <w:tc>
          <w:tcPr>
            <w:tcW w:w="2338" w:type="dxa"/>
            <w:tcBorders>
              <w:top w:val="single" w:sz="4" w:space="0" w:color="auto"/>
              <w:left w:val="nil"/>
              <w:bottom w:val="single" w:sz="4" w:space="0" w:color="auto"/>
              <w:right w:val="single" w:sz="4" w:space="0" w:color="auto"/>
            </w:tcBorders>
            <w:shd w:val="clear" w:color="auto" w:fill="auto"/>
            <w:vAlign w:val="center"/>
          </w:tcPr>
          <w:p w14:paraId="20D7EA70" w14:textId="3C15EADE"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SSB-index-explicit</w:t>
            </w:r>
          </w:p>
        </w:tc>
        <w:tc>
          <w:tcPr>
            <w:tcW w:w="3752" w:type="dxa"/>
            <w:tcBorders>
              <w:top w:val="single" w:sz="4" w:space="0" w:color="auto"/>
              <w:left w:val="nil"/>
              <w:bottom w:val="single" w:sz="4" w:space="0" w:color="auto"/>
              <w:right w:val="single" w:sz="4" w:space="0" w:color="auto"/>
            </w:tcBorders>
            <w:shd w:val="clear" w:color="auto" w:fill="auto"/>
            <w:vAlign w:val="center"/>
          </w:tcPr>
          <w:p w14:paraId="16499B8A" w14:textId="0C487FC4"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The explicit part of the SSB index transmitted in the NR-PBCH payload</w:t>
            </w:r>
            <w:r w:rsidRPr="00B6182E">
              <w:rPr>
                <w:rFonts w:cs="Arial"/>
                <w:sz w:val="16"/>
                <w:szCs w:val="16"/>
                <w:lang w:val="en-US" w:eastAsia="en-US"/>
              </w:rPr>
              <w:tab/>
            </w:r>
          </w:p>
        </w:tc>
        <w:tc>
          <w:tcPr>
            <w:tcW w:w="2038" w:type="dxa"/>
            <w:tcBorders>
              <w:top w:val="single" w:sz="4" w:space="0" w:color="auto"/>
              <w:left w:val="nil"/>
              <w:bottom w:val="single" w:sz="4" w:space="0" w:color="auto"/>
              <w:right w:val="single" w:sz="4" w:space="0" w:color="auto"/>
            </w:tcBorders>
            <w:shd w:val="clear" w:color="auto" w:fill="auto"/>
            <w:vAlign w:val="center"/>
          </w:tcPr>
          <w:p w14:paraId="20E0B03C" w14:textId="41EA0A5C"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0,1,…,7</w:t>
            </w:r>
          </w:p>
        </w:tc>
      </w:tr>
      <w:tr w:rsidR="00B6182E" w:rsidRPr="00B6182E" w14:paraId="661B19C2" w14:textId="77777777" w:rsidTr="00B6182E">
        <w:trPr>
          <w:trHeight w:val="249"/>
        </w:trPr>
        <w:tc>
          <w:tcPr>
            <w:tcW w:w="2279" w:type="dxa"/>
            <w:tcBorders>
              <w:top w:val="single" w:sz="4" w:space="0" w:color="auto"/>
              <w:left w:val="single" w:sz="4" w:space="0" w:color="auto"/>
              <w:bottom w:val="single" w:sz="4" w:space="0" w:color="auto"/>
              <w:right w:val="single" w:sz="4" w:space="0" w:color="auto"/>
            </w:tcBorders>
            <w:shd w:val="clear" w:color="000000" w:fill="9BBB59"/>
            <w:vAlign w:val="center"/>
            <w:hideMark/>
          </w:tcPr>
          <w:p w14:paraId="50498F04" w14:textId="77777777"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SS-PBCHBlockPower</w:t>
            </w:r>
          </w:p>
        </w:tc>
        <w:tc>
          <w:tcPr>
            <w:tcW w:w="2338" w:type="dxa"/>
            <w:tcBorders>
              <w:top w:val="single" w:sz="4" w:space="0" w:color="auto"/>
              <w:left w:val="nil"/>
              <w:bottom w:val="single" w:sz="4" w:space="0" w:color="auto"/>
              <w:right w:val="single" w:sz="4" w:space="0" w:color="auto"/>
            </w:tcBorders>
            <w:shd w:val="clear" w:color="auto" w:fill="auto"/>
            <w:vAlign w:val="center"/>
            <w:hideMark/>
          </w:tcPr>
          <w:p w14:paraId="31007A73" w14:textId="77777777"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SS-PBCHBlockPower</w:t>
            </w:r>
          </w:p>
        </w:tc>
        <w:tc>
          <w:tcPr>
            <w:tcW w:w="3752" w:type="dxa"/>
            <w:tcBorders>
              <w:top w:val="single" w:sz="4" w:space="0" w:color="auto"/>
              <w:left w:val="nil"/>
              <w:bottom w:val="single" w:sz="4" w:space="0" w:color="auto"/>
              <w:right w:val="single" w:sz="4" w:space="0" w:color="auto"/>
            </w:tcBorders>
            <w:shd w:val="clear" w:color="auto" w:fill="auto"/>
            <w:vAlign w:val="center"/>
            <w:hideMark/>
          </w:tcPr>
          <w:p w14:paraId="7A665A20" w14:textId="77777777"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 </w:t>
            </w:r>
          </w:p>
        </w:tc>
        <w:tc>
          <w:tcPr>
            <w:tcW w:w="2038" w:type="dxa"/>
            <w:tcBorders>
              <w:top w:val="single" w:sz="4" w:space="0" w:color="auto"/>
              <w:left w:val="nil"/>
              <w:bottom w:val="single" w:sz="4" w:space="0" w:color="auto"/>
              <w:right w:val="single" w:sz="4" w:space="0" w:color="auto"/>
            </w:tcBorders>
            <w:shd w:val="clear" w:color="auto" w:fill="auto"/>
            <w:vAlign w:val="center"/>
            <w:hideMark/>
          </w:tcPr>
          <w:p w14:paraId="439C8159" w14:textId="77777777"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lang w:val="en-US" w:eastAsia="en-US"/>
              </w:rPr>
              <w:t>[-60...50]</w:t>
            </w:r>
          </w:p>
        </w:tc>
      </w:tr>
      <w:tr w:rsidR="00B6182E" w:rsidRPr="00B6182E" w14:paraId="3B649248" w14:textId="77777777" w:rsidTr="00B6182E">
        <w:trPr>
          <w:trHeight w:val="249"/>
        </w:trPr>
        <w:tc>
          <w:tcPr>
            <w:tcW w:w="2279" w:type="dxa"/>
            <w:tcBorders>
              <w:top w:val="single" w:sz="4" w:space="0" w:color="auto"/>
              <w:left w:val="single" w:sz="4" w:space="0" w:color="auto"/>
              <w:bottom w:val="single" w:sz="4" w:space="0" w:color="auto"/>
              <w:right w:val="single" w:sz="4" w:space="0" w:color="auto"/>
            </w:tcBorders>
            <w:shd w:val="clear" w:color="000000" w:fill="9BBB59"/>
            <w:vAlign w:val="center"/>
          </w:tcPr>
          <w:p w14:paraId="01087B03" w14:textId="1B043EB1"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rPr>
              <w:t>SFN</w:t>
            </w:r>
          </w:p>
        </w:tc>
        <w:tc>
          <w:tcPr>
            <w:tcW w:w="2338" w:type="dxa"/>
            <w:tcBorders>
              <w:top w:val="single" w:sz="4" w:space="0" w:color="auto"/>
              <w:left w:val="nil"/>
              <w:bottom w:val="single" w:sz="4" w:space="0" w:color="auto"/>
              <w:right w:val="single" w:sz="4" w:space="0" w:color="auto"/>
            </w:tcBorders>
            <w:shd w:val="clear" w:color="auto" w:fill="auto"/>
            <w:vAlign w:val="center"/>
          </w:tcPr>
          <w:p w14:paraId="3D63C648" w14:textId="0CE5C28D"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rPr>
              <w:t>SFN</w:t>
            </w:r>
          </w:p>
        </w:tc>
        <w:tc>
          <w:tcPr>
            <w:tcW w:w="3752" w:type="dxa"/>
            <w:tcBorders>
              <w:top w:val="single" w:sz="4" w:space="0" w:color="auto"/>
              <w:left w:val="nil"/>
              <w:bottom w:val="single" w:sz="4" w:space="0" w:color="auto"/>
              <w:right w:val="single" w:sz="4" w:space="0" w:color="auto"/>
            </w:tcBorders>
            <w:shd w:val="clear" w:color="auto" w:fill="auto"/>
            <w:vAlign w:val="center"/>
          </w:tcPr>
          <w:p w14:paraId="37BA87BB" w14:textId="6565622E"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rPr>
              <w:t>System frame number included in NR-PBCH payload</w:t>
            </w:r>
          </w:p>
        </w:tc>
        <w:tc>
          <w:tcPr>
            <w:tcW w:w="2038" w:type="dxa"/>
            <w:tcBorders>
              <w:top w:val="single" w:sz="4" w:space="0" w:color="auto"/>
              <w:left w:val="nil"/>
              <w:bottom w:val="single" w:sz="4" w:space="0" w:color="auto"/>
              <w:right w:val="single" w:sz="4" w:space="0" w:color="auto"/>
            </w:tcBorders>
            <w:shd w:val="clear" w:color="auto" w:fill="auto"/>
            <w:vAlign w:val="center"/>
          </w:tcPr>
          <w:p w14:paraId="09F5F27E" w14:textId="7D745912" w:rsidR="00B6182E" w:rsidRPr="00B6182E" w:rsidRDefault="00B6182E" w:rsidP="00B6182E">
            <w:pPr>
              <w:overflowPunct/>
              <w:autoSpaceDE/>
              <w:autoSpaceDN/>
              <w:adjustRightInd/>
              <w:spacing w:after="0"/>
              <w:jc w:val="left"/>
              <w:textAlignment w:val="auto"/>
              <w:rPr>
                <w:rFonts w:cs="Arial"/>
                <w:sz w:val="16"/>
                <w:szCs w:val="16"/>
                <w:lang w:val="en-US" w:eastAsia="en-US"/>
              </w:rPr>
            </w:pPr>
            <w:r w:rsidRPr="00B6182E">
              <w:rPr>
                <w:rFonts w:cs="Arial"/>
                <w:sz w:val="16"/>
                <w:szCs w:val="16"/>
              </w:rPr>
              <w:t>[7 to 10 bits]</w:t>
            </w:r>
          </w:p>
        </w:tc>
      </w:tr>
      <w:tr w:rsidR="00B6182E" w:rsidRPr="00B6182E" w14:paraId="2CB932A6" w14:textId="77777777" w:rsidTr="00B6182E">
        <w:trPr>
          <w:trHeight w:val="249"/>
        </w:trPr>
        <w:tc>
          <w:tcPr>
            <w:tcW w:w="2279" w:type="dxa"/>
            <w:tcBorders>
              <w:top w:val="single" w:sz="4" w:space="0" w:color="auto"/>
              <w:left w:val="single" w:sz="4" w:space="0" w:color="auto"/>
              <w:bottom w:val="single" w:sz="4" w:space="0" w:color="auto"/>
              <w:right w:val="single" w:sz="4" w:space="0" w:color="auto"/>
            </w:tcBorders>
            <w:shd w:val="clear" w:color="000000" w:fill="9BBB59"/>
            <w:vAlign w:val="center"/>
          </w:tcPr>
          <w:p w14:paraId="7D4511A0" w14:textId="78450456"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RMSI-scs</w:t>
            </w:r>
          </w:p>
        </w:tc>
        <w:tc>
          <w:tcPr>
            <w:tcW w:w="2338" w:type="dxa"/>
            <w:tcBorders>
              <w:top w:val="single" w:sz="4" w:space="0" w:color="auto"/>
              <w:left w:val="nil"/>
              <w:bottom w:val="single" w:sz="4" w:space="0" w:color="auto"/>
              <w:right w:val="single" w:sz="4" w:space="0" w:color="auto"/>
            </w:tcBorders>
            <w:shd w:val="clear" w:color="auto" w:fill="auto"/>
            <w:vAlign w:val="center"/>
          </w:tcPr>
          <w:p w14:paraId="5DC22A79" w14:textId="0AC44C5C"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RMSI-scs</w:t>
            </w:r>
          </w:p>
        </w:tc>
        <w:tc>
          <w:tcPr>
            <w:tcW w:w="3752" w:type="dxa"/>
            <w:tcBorders>
              <w:top w:val="single" w:sz="4" w:space="0" w:color="auto"/>
              <w:left w:val="nil"/>
              <w:bottom w:val="single" w:sz="4" w:space="0" w:color="auto"/>
              <w:right w:val="single" w:sz="4" w:space="0" w:color="auto"/>
            </w:tcBorders>
            <w:shd w:val="clear" w:color="auto" w:fill="auto"/>
            <w:vAlign w:val="center"/>
          </w:tcPr>
          <w:p w14:paraId="7CE44DD4" w14:textId="27B2154E"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 xml:space="preserve">Subcarrier spacing for RMSI, Msg.2/4 for initial access and broadcasted OSI </w:t>
            </w:r>
          </w:p>
        </w:tc>
        <w:tc>
          <w:tcPr>
            <w:tcW w:w="2038" w:type="dxa"/>
            <w:tcBorders>
              <w:top w:val="single" w:sz="4" w:space="0" w:color="auto"/>
              <w:left w:val="nil"/>
              <w:bottom w:val="single" w:sz="4" w:space="0" w:color="auto"/>
              <w:right w:val="single" w:sz="4" w:space="0" w:color="auto"/>
            </w:tcBorders>
            <w:shd w:val="clear" w:color="auto" w:fill="auto"/>
            <w:vAlign w:val="center"/>
          </w:tcPr>
          <w:p w14:paraId="5D8AB11B" w14:textId="75E8076E"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15, 30 and 60 kHz (&lt;6GHz), 60 and 120 kHz (&gt;6GHz)</w:t>
            </w:r>
          </w:p>
        </w:tc>
      </w:tr>
      <w:tr w:rsidR="00B6182E" w:rsidRPr="00B6182E" w14:paraId="0F812BB5" w14:textId="77777777" w:rsidTr="00B6182E">
        <w:trPr>
          <w:trHeight w:val="249"/>
        </w:trPr>
        <w:tc>
          <w:tcPr>
            <w:tcW w:w="2279" w:type="dxa"/>
            <w:tcBorders>
              <w:top w:val="single" w:sz="4" w:space="0" w:color="auto"/>
              <w:left w:val="single" w:sz="4" w:space="0" w:color="auto"/>
              <w:bottom w:val="single" w:sz="4" w:space="0" w:color="auto"/>
              <w:right w:val="single" w:sz="4" w:space="0" w:color="auto"/>
            </w:tcBorders>
            <w:shd w:val="clear" w:color="000000" w:fill="9BBB59"/>
            <w:vAlign w:val="center"/>
          </w:tcPr>
          <w:p w14:paraId="0FB536C8" w14:textId="48B48F3C"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DL-DMRS-typeA-pos</w:t>
            </w:r>
          </w:p>
        </w:tc>
        <w:tc>
          <w:tcPr>
            <w:tcW w:w="2338" w:type="dxa"/>
            <w:tcBorders>
              <w:top w:val="single" w:sz="4" w:space="0" w:color="auto"/>
              <w:left w:val="nil"/>
              <w:bottom w:val="single" w:sz="4" w:space="0" w:color="auto"/>
              <w:right w:val="single" w:sz="4" w:space="0" w:color="auto"/>
            </w:tcBorders>
            <w:shd w:val="clear" w:color="auto" w:fill="auto"/>
            <w:vAlign w:val="center"/>
          </w:tcPr>
          <w:p w14:paraId="360360D6" w14:textId="51E7BE93"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DL-DMRS-typeA-pos</w:t>
            </w:r>
          </w:p>
        </w:tc>
        <w:tc>
          <w:tcPr>
            <w:tcW w:w="3752" w:type="dxa"/>
            <w:tcBorders>
              <w:top w:val="single" w:sz="4" w:space="0" w:color="auto"/>
              <w:left w:val="nil"/>
              <w:bottom w:val="single" w:sz="4" w:space="0" w:color="auto"/>
              <w:right w:val="single" w:sz="4" w:space="0" w:color="auto"/>
            </w:tcBorders>
            <w:shd w:val="clear" w:color="auto" w:fill="auto"/>
            <w:vAlign w:val="center"/>
          </w:tcPr>
          <w:p w14:paraId="3AA6C4D7" w14:textId="4286E12C"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Position of (first) DL DM-RS</w:t>
            </w:r>
          </w:p>
        </w:tc>
        <w:tc>
          <w:tcPr>
            <w:tcW w:w="2038" w:type="dxa"/>
            <w:tcBorders>
              <w:top w:val="single" w:sz="4" w:space="0" w:color="auto"/>
              <w:left w:val="nil"/>
              <w:bottom w:val="single" w:sz="4" w:space="0" w:color="auto"/>
              <w:right w:val="single" w:sz="4" w:space="0" w:color="auto"/>
            </w:tcBorders>
            <w:shd w:val="clear" w:color="auto" w:fill="auto"/>
            <w:vAlign w:val="center"/>
          </w:tcPr>
          <w:p w14:paraId="2ADA3071" w14:textId="4B7931AC" w:rsidR="00B6182E" w:rsidRPr="00B6182E" w:rsidRDefault="00B6182E" w:rsidP="00B6182E">
            <w:pPr>
              <w:overflowPunct/>
              <w:autoSpaceDE/>
              <w:autoSpaceDN/>
              <w:adjustRightInd/>
              <w:spacing w:after="0"/>
              <w:jc w:val="left"/>
              <w:textAlignment w:val="auto"/>
              <w:rPr>
                <w:rFonts w:cs="Arial"/>
                <w:sz w:val="16"/>
                <w:szCs w:val="16"/>
              </w:rPr>
            </w:pPr>
            <w:r w:rsidRPr="00B6182E">
              <w:rPr>
                <w:rFonts w:cs="Arial"/>
                <w:sz w:val="16"/>
                <w:szCs w:val="16"/>
              </w:rPr>
              <w:t>2, 3</w:t>
            </w:r>
          </w:p>
        </w:tc>
      </w:tr>
      <w:tr w:rsidR="00B6182E" w:rsidRPr="00B6182E" w14:paraId="733D29AD" w14:textId="77777777" w:rsidTr="005D6BE9">
        <w:trPr>
          <w:trHeight w:val="249"/>
        </w:trPr>
        <w:tc>
          <w:tcPr>
            <w:tcW w:w="2279" w:type="dxa"/>
            <w:tcBorders>
              <w:top w:val="single" w:sz="4" w:space="0" w:color="auto"/>
              <w:left w:val="single" w:sz="4" w:space="0" w:color="auto"/>
              <w:bottom w:val="single" w:sz="4" w:space="0" w:color="auto"/>
              <w:right w:val="single" w:sz="4" w:space="0" w:color="auto"/>
            </w:tcBorders>
            <w:shd w:val="clear" w:color="000000" w:fill="9BBB59"/>
          </w:tcPr>
          <w:p w14:paraId="57D9A3C9" w14:textId="1DF4B949" w:rsidR="00B6182E" w:rsidRPr="00B6182E" w:rsidRDefault="00B6182E" w:rsidP="00B6182E">
            <w:pPr>
              <w:overflowPunct/>
              <w:autoSpaceDE/>
              <w:autoSpaceDN/>
              <w:adjustRightInd/>
              <w:spacing w:after="0"/>
              <w:jc w:val="left"/>
              <w:textAlignment w:val="auto"/>
              <w:rPr>
                <w:rFonts w:cs="Arial"/>
                <w:sz w:val="16"/>
                <w:szCs w:val="16"/>
              </w:rPr>
            </w:pPr>
            <w:r w:rsidRPr="00B6182E">
              <w:t>RMSI-PDCCH-Config</w:t>
            </w:r>
          </w:p>
        </w:tc>
        <w:tc>
          <w:tcPr>
            <w:tcW w:w="2338" w:type="dxa"/>
            <w:tcBorders>
              <w:top w:val="single" w:sz="4" w:space="0" w:color="auto"/>
              <w:left w:val="nil"/>
              <w:bottom w:val="single" w:sz="4" w:space="0" w:color="auto"/>
              <w:right w:val="single" w:sz="4" w:space="0" w:color="auto"/>
            </w:tcBorders>
            <w:shd w:val="clear" w:color="auto" w:fill="auto"/>
          </w:tcPr>
          <w:p w14:paraId="536D2F68" w14:textId="5074F983" w:rsidR="00B6182E" w:rsidRPr="00B6182E" w:rsidRDefault="00B6182E" w:rsidP="00B6182E">
            <w:pPr>
              <w:overflowPunct/>
              <w:autoSpaceDE/>
              <w:autoSpaceDN/>
              <w:adjustRightInd/>
              <w:spacing w:after="0"/>
              <w:jc w:val="left"/>
              <w:textAlignment w:val="auto"/>
              <w:rPr>
                <w:rFonts w:cs="Arial"/>
                <w:sz w:val="16"/>
                <w:szCs w:val="16"/>
              </w:rPr>
            </w:pPr>
            <w:r w:rsidRPr="00B6182E">
              <w:t>RMSI-PDCCH-Config</w:t>
            </w:r>
          </w:p>
        </w:tc>
        <w:tc>
          <w:tcPr>
            <w:tcW w:w="3752" w:type="dxa"/>
            <w:tcBorders>
              <w:top w:val="single" w:sz="4" w:space="0" w:color="auto"/>
              <w:left w:val="nil"/>
              <w:bottom w:val="single" w:sz="4" w:space="0" w:color="auto"/>
              <w:right w:val="single" w:sz="4" w:space="0" w:color="auto"/>
            </w:tcBorders>
            <w:shd w:val="clear" w:color="auto" w:fill="auto"/>
          </w:tcPr>
          <w:p w14:paraId="1EC09D5F" w14:textId="3295082F" w:rsidR="00B6182E" w:rsidRPr="00B6182E" w:rsidRDefault="00B6182E" w:rsidP="00B6182E">
            <w:pPr>
              <w:overflowPunct/>
              <w:autoSpaceDE/>
              <w:autoSpaceDN/>
              <w:adjustRightInd/>
              <w:spacing w:after="0"/>
              <w:jc w:val="left"/>
              <w:textAlignment w:val="auto"/>
              <w:rPr>
                <w:rFonts w:cs="Arial"/>
                <w:sz w:val="16"/>
                <w:szCs w:val="16"/>
              </w:rPr>
            </w:pPr>
            <w:r w:rsidRPr="00B6182E">
              <w:t>Configuration of the PDCCH used to schedule the RMSI</w:t>
            </w:r>
          </w:p>
        </w:tc>
        <w:tc>
          <w:tcPr>
            <w:tcW w:w="2038" w:type="dxa"/>
            <w:tcBorders>
              <w:top w:val="single" w:sz="4" w:space="0" w:color="auto"/>
              <w:left w:val="nil"/>
              <w:bottom w:val="single" w:sz="4" w:space="0" w:color="auto"/>
              <w:right w:val="single" w:sz="4" w:space="0" w:color="auto"/>
            </w:tcBorders>
            <w:shd w:val="clear" w:color="auto" w:fill="auto"/>
          </w:tcPr>
          <w:p w14:paraId="5E621143" w14:textId="77777777" w:rsidR="00B6182E" w:rsidRPr="00B6182E" w:rsidRDefault="00B6182E" w:rsidP="00B6182E">
            <w:pPr>
              <w:overflowPunct/>
              <w:autoSpaceDE/>
              <w:autoSpaceDN/>
              <w:adjustRightInd/>
              <w:spacing w:after="0"/>
              <w:jc w:val="left"/>
              <w:textAlignment w:val="auto"/>
              <w:rPr>
                <w:rFonts w:cs="Arial"/>
                <w:sz w:val="16"/>
                <w:szCs w:val="16"/>
              </w:rPr>
            </w:pPr>
          </w:p>
        </w:tc>
      </w:tr>
    </w:tbl>
    <w:p w14:paraId="165220EF" w14:textId="49495F29" w:rsidR="00492A9D" w:rsidRDefault="00802991" w:rsidP="00F60323">
      <w:r>
        <w:t xml:space="preserve"> </w:t>
      </w:r>
      <w:r w:rsidR="00CD4EC2">
        <w:t xml:space="preserve"> </w:t>
      </w:r>
    </w:p>
    <w:p w14:paraId="3DD1D026" w14:textId="203CE9D0" w:rsidR="00CD4EC2" w:rsidRDefault="00854C48" w:rsidP="00F60323">
      <w:r>
        <w:t xml:space="preserve">In addition to the already agreed physical layer parameters, there may be additional RAN1 parameters such as </w:t>
      </w:r>
      <w:r w:rsidR="00A86DCD">
        <w:t xml:space="preserve">carrier </w:t>
      </w:r>
      <w:r>
        <w:t>bandwidth</w:t>
      </w:r>
      <w:r w:rsidR="00B6182E">
        <w:t xml:space="preserve"> </w:t>
      </w:r>
      <w:r w:rsidR="00A86DCD">
        <w:t>that may need to be included in the MIB.</w:t>
      </w:r>
    </w:p>
    <w:p w14:paraId="01AB2461" w14:textId="4DF5364F" w:rsidR="003811A5" w:rsidRDefault="00A86DCD" w:rsidP="00F60323">
      <w:r>
        <w:t xml:space="preserve">The only bit RAN2 has agreed to be included in the MIB </w:t>
      </w:r>
      <w:r w:rsidR="003811A5">
        <w:t>is the “cell barred” bit. There are two remaining open issues with “cell barring” bit.</w:t>
      </w:r>
    </w:p>
    <w:p w14:paraId="7EC8AF57" w14:textId="6B3C0E94" w:rsidR="003811A5" w:rsidRDefault="003811A5" w:rsidP="003811A5">
      <w:pPr>
        <w:pStyle w:val="ListParagraph"/>
        <w:numPr>
          <w:ilvl w:val="0"/>
          <w:numId w:val="31"/>
        </w:numPr>
      </w:pPr>
      <w:r>
        <w:t>Naming of the bit</w:t>
      </w:r>
    </w:p>
    <w:p w14:paraId="7A082F0F" w14:textId="2E00D0A2" w:rsidR="003811A5" w:rsidRDefault="003811A5" w:rsidP="003811A5">
      <w:pPr>
        <w:pStyle w:val="ListParagraph"/>
        <w:numPr>
          <w:ilvl w:val="0"/>
          <w:numId w:val="31"/>
        </w:numPr>
      </w:pPr>
      <w:r>
        <w:t>The value of BarredTimer</w:t>
      </w:r>
    </w:p>
    <w:p w14:paraId="1F5DBB71" w14:textId="6374B853" w:rsidR="00A86DCD" w:rsidRDefault="003811A5" w:rsidP="00F60323">
      <w:r>
        <w:t>Even though the main purpose of this bit is to support EN-DC deployments with and without SIB1 being broadcast (for e.g. ANR functionality), the UE behaviour when the bit is set is either identical or very similar to a cell being barred with the only possible difference being the value of the BarredTimer. For this reason, we propose</w:t>
      </w:r>
    </w:p>
    <w:p w14:paraId="0FD02332" w14:textId="32B03933" w:rsidR="003811A5" w:rsidRPr="008451C3" w:rsidRDefault="003811A5" w:rsidP="00F60323">
      <w:pPr>
        <w:rPr>
          <w:b/>
        </w:rPr>
      </w:pPr>
      <w:r w:rsidRPr="008451C3">
        <w:rPr>
          <w:b/>
        </w:rPr>
        <w:t>Proposal 1: The 1 bit indication to avoid UEs camping on a cell is called cellBarred in MIB</w:t>
      </w:r>
    </w:p>
    <w:p w14:paraId="2D8F2D86" w14:textId="6F81FF4D" w:rsidR="003811A5" w:rsidRDefault="008451C3" w:rsidP="00F60323">
      <w:r>
        <w:t>Currently the UE behaviour when the cell is barred is to not check the same cell or frequency (depending on whether the intra-frequency reselection is allowed or not) is to “</w:t>
      </w:r>
      <w:r w:rsidRPr="007F5331">
        <w:rPr>
          <w:lang w:eastAsia="ja-JP"/>
        </w:rPr>
        <w:t>exclude the barred cell as a candidate for cell selection/reselection for 300 seconds</w:t>
      </w:r>
      <w:r>
        <w:t xml:space="preserve">”. The reason for the 300 second limit is primarily to save UE battery life by not requiring the UE to check the same cell or frequency too often. Even though a longer time could be used for EN-DC deployments, it seems that he impact on the UE battery life for extending this is not likely to be significant, and there might be scenarios where the network has deployed only EN-DC in part of the network, but has stand-alone NR in parts of the network. </w:t>
      </w:r>
    </w:p>
    <w:p w14:paraId="52BDA67C" w14:textId="5B61C494" w:rsidR="008451C3" w:rsidRPr="008451C3" w:rsidRDefault="008451C3" w:rsidP="008451C3">
      <w:pPr>
        <w:rPr>
          <w:b/>
        </w:rPr>
      </w:pPr>
      <w:r>
        <w:rPr>
          <w:b/>
        </w:rPr>
        <w:t>Proposal 2</w:t>
      </w:r>
      <w:r w:rsidRPr="008451C3">
        <w:rPr>
          <w:b/>
        </w:rPr>
        <w:t>: The UE shall exclude the barred cell and the cells on the same frequency as a candidate for cell selection/reselection for 300 seconds</w:t>
      </w:r>
      <w:r>
        <w:rPr>
          <w:b/>
        </w:rPr>
        <w:t xml:space="preserve"> also when the cellBarred bit is set in MIB</w:t>
      </w:r>
    </w:p>
    <w:p w14:paraId="4525903E" w14:textId="74709882" w:rsidR="008451C3" w:rsidRDefault="00DE3990" w:rsidP="00F60323">
      <w:r>
        <w:t>The final remaining open issue RAN2 can address is the size of the spare bits. Since NR is operating according to the lean carrier proposal and the transmission of PBCH when beam sweeping is somewhat costly, RAN2 should minimize the number of spare bits. One simple approach would be to use any bits introduced by the octet alignment due to ASN.1 packet encoding rules, with the exception that at least one spare bit is needed for forward compatibility.</w:t>
      </w:r>
    </w:p>
    <w:p w14:paraId="3010D561" w14:textId="2B3D3FD2" w:rsidR="00DE3990" w:rsidRPr="008451C3" w:rsidRDefault="00DE3990" w:rsidP="00DE3990">
      <w:pPr>
        <w:rPr>
          <w:b/>
        </w:rPr>
      </w:pPr>
      <w:r>
        <w:rPr>
          <w:b/>
        </w:rPr>
        <w:t>Proposal 3</w:t>
      </w:r>
      <w:r w:rsidRPr="008451C3">
        <w:rPr>
          <w:b/>
        </w:rPr>
        <w:t xml:space="preserve">: </w:t>
      </w:r>
      <w:r>
        <w:rPr>
          <w:b/>
        </w:rPr>
        <w:t xml:space="preserve">Spare bits are only introduced to the extent needed for octet alignment. If the MIB contents are exactly octet aligned, 8 spare bits are introduced. </w:t>
      </w:r>
    </w:p>
    <w:p w14:paraId="67C633F5" w14:textId="34192330" w:rsidR="00492A9D" w:rsidRPr="00CE0424" w:rsidRDefault="00492A9D" w:rsidP="00492A9D">
      <w:pPr>
        <w:pStyle w:val="Heading1"/>
      </w:pPr>
      <w:r w:rsidRPr="00CE0424">
        <w:t>Conclusion</w:t>
      </w:r>
    </w:p>
    <w:p w14:paraId="39C4349E" w14:textId="47D732E6" w:rsidR="00492A9D" w:rsidRPr="00B02F56" w:rsidRDefault="00492A9D" w:rsidP="00492A9D">
      <w:pPr>
        <w:pStyle w:val="TOC1"/>
        <w:rPr>
          <w:b w:val="0"/>
        </w:rPr>
      </w:pPr>
      <w:r w:rsidRPr="00B02F56">
        <w:rPr>
          <w:b w:val="0"/>
        </w:rPr>
        <w:t xml:space="preserve">Based on the discussion in section </w:t>
      </w:r>
      <w:r w:rsidR="008011C8">
        <w:rPr>
          <w:b w:val="0"/>
        </w:rPr>
        <w:t>2</w:t>
      </w:r>
      <w:r w:rsidRPr="00B02F56">
        <w:rPr>
          <w:b w:val="0"/>
        </w:rPr>
        <w:t xml:space="preserve"> we propose the following:</w:t>
      </w:r>
    </w:p>
    <w:p w14:paraId="6F98BA6C" w14:textId="77777777" w:rsidR="00B6182E" w:rsidRDefault="00B6182E" w:rsidP="00B6182E">
      <w:pPr>
        <w:rPr>
          <w:b/>
        </w:rPr>
      </w:pPr>
    </w:p>
    <w:p w14:paraId="7986FCE1" w14:textId="6D264101" w:rsidR="00B6182E" w:rsidRPr="008451C3" w:rsidRDefault="00B6182E" w:rsidP="00B6182E">
      <w:pPr>
        <w:rPr>
          <w:b/>
        </w:rPr>
      </w:pPr>
      <w:r w:rsidRPr="008451C3">
        <w:rPr>
          <w:b/>
        </w:rPr>
        <w:t>Proposal 1: The 1 bit indication to avoid UEs camping on a cell is called cellBarred in MIB</w:t>
      </w:r>
    </w:p>
    <w:p w14:paraId="7BB0F2E7" w14:textId="77777777" w:rsidR="00B6182E" w:rsidRPr="008451C3" w:rsidRDefault="00B6182E" w:rsidP="00B6182E">
      <w:pPr>
        <w:rPr>
          <w:b/>
        </w:rPr>
      </w:pPr>
      <w:r>
        <w:rPr>
          <w:b/>
        </w:rPr>
        <w:t>Proposal 2</w:t>
      </w:r>
      <w:r w:rsidRPr="008451C3">
        <w:rPr>
          <w:b/>
        </w:rPr>
        <w:t>: The UE shall exclude the barred cell and the cells on the same frequency as a candidate for cell selection/reselection for 300 seconds</w:t>
      </w:r>
      <w:r>
        <w:rPr>
          <w:b/>
        </w:rPr>
        <w:t xml:space="preserve"> also when the cellBarred bit is set in MIB</w:t>
      </w:r>
    </w:p>
    <w:p w14:paraId="7E23B1A4" w14:textId="77777777" w:rsidR="00B6182E" w:rsidRPr="008451C3" w:rsidRDefault="00B6182E" w:rsidP="00B6182E">
      <w:pPr>
        <w:rPr>
          <w:b/>
        </w:rPr>
      </w:pPr>
      <w:r>
        <w:rPr>
          <w:b/>
        </w:rPr>
        <w:lastRenderedPageBreak/>
        <w:t>Proposal 3</w:t>
      </w:r>
      <w:r w:rsidRPr="008451C3">
        <w:rPr>
          <w:b/>
        </w:rPr>
        <w:t xml:space="preserve">: </w:t>
      </w:r>
      <w:r>
        <w:rPr>
          <w:b/>
        </w:rPr>
        <w:t xml:space="preserve">Spare bits are only introduced to the extent needed for octet alignment. If the MIB contents are exactly octet aligned, 8 spare bits are introduced. </w:t>
      </w:r>
    </w:p>
    <w:p w14:paraId="7F9D040B" w14:textId="6032075B" w:rsidR="00492A9D" w:rsidRDefault="00492A9D" w:rsidP="00492A9D">
      <w:pPr>
        <w:rPr>
          <w:b/>
          <w:bCs/>
        </w:rPr>
      </w:pPr>
    </w:p>
    <w:p w14:paraId="45B117A7" w14:textId="77777777" w:rsidR="00492A9D" w:rsidRPr="00CE0424" w:rsidRDefault="00492A9D" w:rsidP="00492A9D">
      <w:pPr>
        <w:pStyle w:val="Heading1"/>
      </w:pPr>
      <w:r>
        <w:t>References</w:t>
      </w:r>
    </w:p>
    <w:p w14:paraId="66EB7670" w14:textId="68D34A2A" w:rsidR="00802991" w:rsidRDefault="00802991" w:rsidP="00802991">
      <w:pPr>
        <w:pStyle w:val="Reference"/>
      </w:pPr>
      <w:bookmarkStart w:id="2" w:name="_Ref471509054"/>
      <w:r w:rsidRPr="00802991">
        <w:t>R2-1707627</w:t>
      </w:r>
      <w:r>
        <w:t>, “</w:t>
      </w:r>
      <w:r w:rsidRPr="00802991">
        <w:t>LS on NR initial access and mobility (R1-1712001; contact: NTT DOCOMO)</w:t>
      </w:r>
      <w:r>
        <w:t xml:space="preserve">”, </w:t>
      </w:r>
      <w:r w:rsidRPr="00802991">
        <w:t>RAN1</w:t>
      </w:r>
    </w:p>
    <w:p w14:paraId="3680BF3A" w14:textId="6784A644" w:rsidR="00802991" w:rsidRPr="00802991" w:rsidRDefault="00802991" w:rsidP="00492A9D">
      <w:pPr>
        <w:pStyle w:val="Reference"/>
      </w:pPr>
      <w:r w:rsidRPr="00802991">
        <w:t>R2-1709847, “LS on RRC parameters for NR (R1-1714969; contact: Ericsson)”, RAN1</w:t>
      </w:r>
      <w:bookmarkEnd w:id="2"/>
      <w:bookmarkEnd w:id="0"/>
    </w:p>
    <w:sectPr w:rsidR="00802991" w:rsidRPr="008029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6F5CE" w14:textId="77777777" w:rsidR="003A71DB" w:rsidRDefault="003A71DB">
      <w:r>
        <w:separator/>
      </w:r>
    </w:p>
  </w:endnote>
  <w:endnote w:type="continuationSeparator" w:id="0">
    <w:p w14:paraId="7500EE79" w14:textId="77777777" w:rsidR="003A71DB" w:rsidRDefault="003A71DB">
      <w:r>
        <w:continuationSeparator/>
      </w:r>
    </w:p>
  </w:endnote>
  <w:endnote w:type="continuationNotice" w:id="1">
    <w:p w14:paraId="31A8E832" w14:textId="77777777" w:rsidR="003A71DB" w:rsidRDefault="003A7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6193D" w14:textId="77777777" w:rsidR="003A71DB" w:rsidRDefault="003A71DB">
      <w:r>
        <w:separator/>
      </w:r>
    </w:p>
  </w:footnote>
  <w:footnote w:type="continuationSeparator" w:id="0">
    <w:p w14:paraId="64A36CEB" w14:textId="77777777" w:rsidR="003A71DB" w:rsidRDefault="003A71DB">
      <w:r>
        <w:continuationSeparator/>
      </w:r>
    </w:p>
  </w:footnote>
  <w:footnote w:type="continuationNotice" w:id="1">
    <w:p w14:paraId="5F5608AE" w14:textId="77777777" w:rsidR="003A71DB" w:rsidRDefault="003A71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98B04DF"/>
    <w:multiLevelType w:val="hybridMultilevel"/>
    <w:tmpl w:val="1FE02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9"/>
  </w:num>
  <w:num w:numId="3">
    <w:abstractNumId w:val="15"/>
  </w:num>
  <w:num w:numId="4">
    <w:abstractNumId w:val="16"/>
  </w:num>
  <w:num w:numId="5">
    <w:abstractNumId w:val="13"/>
  </w:num>
  <w:num w:numId="6">
    <w:abstractNumId w:val="18"/>
  </w:num>
  <w:num w:numId="7">
    <w:abstractNumId w:val="22"/>
  </w:num>
  <w:num w:numId="8">
    <w:abstractNumId w:val="14"/>
  </w:num>
  <w:num w:numId="9">
    <w:abstractNumId w:val="12"/>
  </w:num>
  <w:num w:numId="10">
    <w:abstractNumId w:val="2"/>
  </w:num>
  <w:num w:numId="11">
    <w:abstractNumId w:val="1"/>
  </w:num>
  <w:num w:numId="12">
    <w:abstractNumId w:val="0"/>
  </w:num>
  <w:num w:numId="13">
    <w:abstractNumId w:val="20"/>
  </w:num>
  <w:num w:numId="14">
    <w:abstractNumId w:val="30"/>
  </w:num>
  <w:num w:numId="15">
    <w:abstractNumId w:val="1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9"/>
  </w:num>
  <w:num w:numId="18">
    <w:abstractNumId w:val="17"/>
  </w:num>
  <w:num w:numId="19">
    <w:abstractNumId w:val="21"/>
  </w:num>
  <w:num w:numId="20">
    <w:abstractNumId w:val="9"/>
  </w:num>
  <w:num w:numId="21">
    <w:abstractNumId w:val="26"/>
  </w:num>
  <w:num w:numId="22">
    <w:abstractNumId w:val="25"/>
  </w:num>
  <w:num w:numId="23">
    <w:abstractNumId w:val="7"/>
  </w:num>
  <w:num w:numId="24">
    <w:abstractNumId w:val="5"/>
  </w:num>
  <w:num w:numId="25">
    <w:abstractNumId w:val="27"/>
  </w:num>
  <w:num w:numId="26">
    <w:abstractNumId w:val="23"/>
  </w:num>
  <w:num w:numId="27">
    <w:abstractNumId w:val="28"/>
  </w:num>
  <w:num w:numId="28">
    <w:abstractNumId w:val="6"/>
  </w:num>
  <w:num w:numId="29">
    <w:abstractNumId w:val="8"/>
  </w:num>
  <w:num w:numId="30">
    <w:abstractNumId w:val="24"/>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AD6"/>
    <w:rsid w:val="000616E7"/>
    <w:rsid w:val="0006487E"/>
    <w:rsid w:val="00065E1A"/>
    <w:rsid w:val="00066F67"/>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82475"/>
    <w:rsid w:val="00190AC1"/>
    <w:rsid w:val="0019341A"/>
    <w:rsid w:val="00196315"/>
    <w:rsid w:val="00197DF9"/>
    <w:rsid w:val="001A1987"/>
    <w:rsid w:val="001A2564"/>
    <w:rsid w:val="001A6173"/>
    <w:rsid w:val="001A6CBA"/>
    <w:rsid w:val="001B0D97"/>
    <w:rsid w:val="001B5A5D"/>
    <w:rsid w:val="001C0B25"/>
    <w:rsid w:val="001C1051"/>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66B3"/>
    <w:rsid w:val="002B24D6"/>
    <w:rsid w:val="002C41E6"/>
    <w:rsid w:val="002D071A"/>
    <w:rsid w:val="002D34B2"/>
    <w:rsid w:val="002D7637"/>
    <w:rsid w:val="002E17F2"/>
    <w:rsid w:val="002E2ED6"/>
    <w:rsid w:val="002E54E5"/>
    <w:rsid w:val="002E6E42"/>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7B01"/>
    <w:rsid w:val="003203ED"/>
    <w:rsid w:val="00322C9F"/>
    <w:rsid w:val="00324D23"/>
    <w:rsid w:val="00326798"/>
    <w:rsid w:val="00331751"/>
    <w:rsid w:val="0033267B"/>
    <w:rsid w:val="00334579"/>
    <w:rsid w:val="00334973"/>
    <w:rsid w:val="00335858"/>
    <w:rsid w:val="00336BDA"/>
    <w:rsid w:val="00342BD7"/>
    <w:rsid w:val="00343A07"/>
    <w:rsid w:val="00346DB5"/>
    <w:rsid w:val="003477B1"/>
    <w:rsid w:val="0035482C"/>
    <w:rsid w:val="00357380"/>
    <w:rsid w:val="003602D9"/>
    <w:rsid w:val="003604CE"/>
    <w:rsid w:val="003614BA"/>
    <w:rsid w:val="00365F29"/>
    <w:rsid w:val="00370E47"/>
    <w:rsid w:val="003742AC"/>
    <w:rsid w:val="00377CE1"/>
    <w:rsid w:val="00380911"/>
    <w:rsid w:val="003811A5"/>
    <w:rsid w:val="00385BF0"/>
    <w:rsid w:val="003939FF"/>
    <w:rsid w:val="003A2223"/>
    <w:rsid w:val="003A2A0F"/>
    <w:rsid w:val="003A45A1"/>
    <w:rsid w:val="003A5B0A"/>
    <w:rsid w:val="003A6BAC"/>
    <w:rsid w:val="003A71DB"/>
    <w:rsid w:val="003A7EF3"/>
    <w:rsid w:val="003B159C"/>
    <w:rsid w:val="003B369F"/>
    <w:rsid w:val="003B36A3"/>
    <w:rsid w:val="003B493F"/>
    <w:rsid w:val="003B7FE5"/>
    <w:rsid w:val="003C11C8"/>
    <w:rsid w:val="003C2702"/>
    <w:rsid w:val="003C7806"/>
    <w:rsid w:val="003D0E00"/>
    <w:rsid w:val="003D109F"/>
    <w:rsid w:val="003D2478"/>
    <w:rsid w:val="003D2FC4"/>
    <w:rsid w:val="003D3C45"/>
    <w:rsid w:val="003D3EBE"/>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5D80"/>
    <w:rsid w:val="00477768"/>
    <w:rsid w:val="0048581E"/>
    <w:rsid w:val="00492A9D"/>
    <w:rsid w:val="00492BC5"/>
    <w:rsid w:val="004953DE"/>
    <w:rsid w:val="004964F1"/>
    <w:rsid w:val="00496FBA"/>
    <w:rsid w:val="004A16BC"/>
    <w:rsid w:val="004A2B94"/>
    <w:rsid w:val="004B7C0C"/>
    <w:rsid w:val="004C34D2"/>
    <w:rsid w:val="004C3898"/>
    <w:rsid w:val="004C4C67"/>
    <w:rsid w:val="004D36B1"/>
    <w:rsid w:val="004D7EBD"/>
    <w:rsid w:val="004E2680"/>
    <w:rsid w:val="004E28F9"/>
    <w:rsid w:val="004E462E"/>
    <w:rsid w:val="004E56DC"/>
    <w:rsid w:val="004E76F4"/>
    <w:rsid w:val="004F0B4E"/>
    <w:rsid w:val="004F0B6C"/>
    <w:rsid w:val="004F2078"/>
    <w:rsid w:val="004F4DA3"/>
    <w:rsid w:val="004F5CB1"/>
    <w:rsid w:val="004F7D9C"/>
    <w:rsid w:val="0050129B"/>
    <w:rsid w:val="005013F6"/>
    <w:rsid w:val="00503270"/>
    <w:rsid w:val="00506557"/>
    <w:rsid w:val="0050656D"/>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A79A9"/>
    <w:rsid w:val="005B35D7"/>
    <w:rsid w:val="005B392A"/>
    <w:rsid w:val="005B3AA3"/>
    <w:rsid w:val="005B6F83"/>
    <w:rsid w:val="005C1A47"/>
    <w:rsid w:val="005C74FB"/>
    <w:rsid w:val="005D1602"/>
    <w:rsid w:val="005E385F"/>
    <w:rsid w:val="005E5B81"/>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4A50"/>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3651"/>
    <w:rsid w:val="00695FC2"/>
    <w:rsid w:val="00696949"/>
    <w:rsid w:val="00697052"/>
    <w:rsid w:val="006979FE"/>
    <w:rsid w:val="006A46FB"/>
    <w:rsid w:val="006A5E28"/>
    <w:rsid w:val="006A697B"/>
    <w:rsid w:val="006A7AFF"/>
    <w:rsid w:val="006B1816"/>
    <w:rsid w:val="006B2099"/>
    <w:rsid w:val="006B50CF"/>
    <w:rsid w:val="006B722B"/>
    <w:rsid w:val="006C03B8"/>
    <w:rsid w:val="006C1941"/>
    <w:rsid w:val="006C195B"/>
    <w:rsid w:val="006C5EC9"/>
    <w:rsid w:val="006C6059"/>
    <w:rsid w:val="006C7522"/>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4BEC"/>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11C8"/>
    <w:rsid w:val="00802991"/>
    <w:rsid w:val="00803FAE"/>
    <w:rsid w:val="0080605F"/>
    <w:rsid w:val="00807786"/>
    <w:rsid w:val="00811FCB"/>
    <w:rsid w:val="008158D6"/>
    <w:rsid w:val="00817196"/>
    <w:rsid w:val="008173B4"/>
    <w:rsid w:val="00817EDE"/>
    <w:rsid w:val="008235DB"/>
    <w:rsid w:val="00824AB4"/>
    <w:rsid w:val="00825C42"/>
    <w:rsid w:val="00825D25"/>
    <w:rsid w:val="00827D6F"/>
    <w:rsid w:val="00834AAD"/>
    <w:rsid w:val="008376AC"/>
    <w:rsid w:val="008444E8"/>
    <w:rsid w:val="00844E80"/>
    <w:rsid w:val="008451C3"/>
    <w:rsid w:val="00846FE7"/>
    <w:rsid w:val="00850CEC"/>
    <w:rsid w:val="00854C48"/>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875C0"/>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8F7287"/>
    <w:rsid w:val="00901313"/>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86DCD"/>
    <w:rsid w:val="00A92879"/>
    <w:rsid w:val="00A9292E"/>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182E"/>
    <w:rsid w:val="00B62AAA"/>
    <w:rsid w:val="00B664C7"/>
    <w:rsid w:val="00B739F6"/>
    <w:rsid w:val="00B81A6C"/>
    <w:rsid w:val="00B85DE5"/>
    <w:rsid w:val="00B90F73"/>
    <w:rsid w:val="00B93647"/>
    <w:rsid w:val="00B93B59"/>
    <w:rsid w:val="00B9406A"/>
    <w:rsid w:val="00B97D95"/>
    <w:rsid w:val="00BA2280"/>
    <w:rsid w:val="00BA2A08"/>
    <w:rsid w:val="00BA56D2"/>
    <w:rsid w:val="00BA76E0"/>
    <w:rsid w:val="00BB2A25"/>
    <w:rsid w:val="00BB51E9"/>
    <w:rsid w:val="00BC0FDC"/>
    <w:rsid w:val="00BC3053"/>
    <w:rsid w:val="00BC4D2E"/>
    <w:rsid w:val="00BC550B"/>
    <w:rsid w:val="00BD48AC"/>
    <w:rsid w:val="00BD5F1A"/>
    <w:rsid w:val="00BE1234"/>
    <w:rsid w:val="00BE2FA6"/>
    <w:rsid w:val="00BE333F"/>
    <w:rsid w:val="00BE687A"/>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13E"/>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95B85"/>
    <w:rsid w:val="00CA1ED8"/>
    <w:rsid w:val="00CA4021"/>
    <w:rsid w:val="00CB1F63"/>
    <w:rsid w:val="00CB7170"/>
    <w:rsid w:val="00CC040E"/>
    <w:rsid w:val="00CC111F"/>
    <w:rsid w:val="00CC2011"/>
    <w:rsid w:val="00CC28F0"/>
    <w:rsid w:val="00CC3EA0"/>
    <w:rsid w:val="00CC7B45"/>
    <w:rsid w:val="00CD1188"/>
    <w:rsid w:val="00CD2ED1"/>
    <w:rsid w:val="00CD337B"/>
    <w:rsid w:val="00CD4EC2"/>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537B"/>
    <w:rsid w:val="00D66155"/>
    <w:rsid w:val="00D708B0"/>
    <w:rsid w:val="00D77B1D"/>
    <w:rsid w:val="00D8021F"/>
    <w:rsid w:val="00D80383"/>
    <w:rsid w:val="00D823C6"/>
    <w:rsid w:val="00D82E01"/>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3096"/>
    <w:rsid w:val="00DE0F5D"/>
    <w:rsid w:val="00DE3990"/>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22B8"/>
    <w:rsid w:val="00E53B75"/>
    <w:rsid w:val="00E54786"/>
    <w:rsid w:val="00E54E3B"/>
    <w:rsid w:val="00E57565"/>
    <w:rsid w:val="00E607C1"/>
    <w:rsid w:val="00E60BA0"/>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FA5"/>
    <w:rsid w:val="00F209B7"/>
    <w:rsid w:val="00F2376F"/>
    <w:rsid w:val="00F243D8"/>
    <w:rsid w:val="00F30828"/>
    <w:rsid w:val="00F313D6"/>
    <w:rsid w:val="00F40F0C"/>
    <w:rsid w:val="00F4766C"/>
    <w:rsid w:val="00F507D1"/>
    <w:rsid w:val="00F519CE"/>
    <w:rsid w:val="00F51ADA"/>
    <w:rsid w:val="00F553EE"/>
    <w:rsid w:val="00F60323"/>
    <w:rsid w:val="00F607C5"/>
    <w:rsid w:val="00F60DEA"/>
    <w:rsid w:val="00F6302A"/>
    <w:rsid w:val="00F6497D"/>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A5B56"/>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C0B25"/>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C0B25"/>
    <w:rPr>
      <w:rFonts w:ascii="Times New Roman" w:hAnsi="Times New Roman"/>
      <w:lang w:val="en-GB" w:eastAsia="x-none"/>
    </w:rPr>
  </w:style>
  <w:style w:type="character" w:customStyle="1" w:styleId="B1Char1">
    <w:name w:val="B1 Char1"/>
    <w:link w:val="B1"/>
    <w:rsid w:val="001C0B25"/>
    <w:rPr>
      <w:rFonts w:ascii="Arial" w:hAnsi="Arial"/>
      <w:lang w:val="en-GB" w:eastAsia="en-US"/>
    </w:rPr>
  </w:style>
  <w:style w:type="character" w:customStyle="1" w:styleId="B2Char">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 w:type="character" w:customStyle="1" w:styleId="Doc-text2Char">
    <w:name w:val="Doc-text2 Char"/>
    <w:link w:val="Doc-text2"/>
    <w:locked/>
    <w:rsid w:val="00F60323"/>
    <w:rPr>
      <w:rFonts w:ascii="Arial" w:eastAsia="MS Mincho" w:hAnsi="Arial" w:cs="Arial"/>
      <w:szCs w:val="24"/>
      <w:lang w:val="x-none" w:eastAsia="en-GB"/>
    </w:rPr>
  </w:style>
  <w:style w:type="paragraph" w:customStyle="1" w:styleId="Doc-text2">
    <w:name w:val="Doc-text2"/>
    <w:basedOn w:val="Normal"/>
    <w:link w:val="Doc-text2Char"/>
    <w:qFormat/>
    <w:rsid w:val="00F60323"/>
    <w:pPr>
      <w:tabs>
        <w:tab w:val="left" w:pos="1622"/>
      </w:tabs>
      <w:spacing w:after="0"/>
      <w:ind w:left="1622" w:hanging="363"/>
      <w:jc w:val="left"/>
      <w:textAlignment w:val="auto"/>
    </w:pPr>
    <w:rPr>
      <w:rFonts w:eastAsia="MS Mincho" w:cs="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489292007">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822550737">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902836161">
      <w:bodyDiv w:val="1"/>
      <w:marLeft w:val="0"/>
      <w:marRight w:val="0"/>
      <w:marTop w:val="0"/>
      <w:marBottom w:val="0"/>
      <w:divBdr>
        <w:top w:val="none" w:sz="0" w:space="0" w:color="auto"/>
        <w:left w:val="none" w:sz="0" w:space="0" w:color="auto"/>
        <w:bottom w:val="none" w:sz="0" w:space="0" w:color="auto"/>
        <w:right w:val="none" w:sz="0" w:space="0" w:color="auto"/>
      </w:divBdr>
    </w:div>
    <w:div w:id="1005985337">
      <w:bodyDiv w:val="1"/>
      <w:marLeft w:val="0"/>
      <w:marRight w:val="0"/>
      <w:marTop w:val="0"/>
      <w:marBottom w:val="0"/>
      <w:divBdr>
        <w:top w:val="none" w:sz="0" w:space="0" w:color="auto"/>
        <w:left w:val="none" w:sz="0" w:space="0" w:color="auto"/>
        <w:bottom w:val="none" w:sz="0" w:space="0" w:color="auto"/>
        <w:right w:val="none" w:sz="0" w:space="0" w:color="auto"/>
      </w:divBdr>
    </w:div>
    <w:div w:id="1159151392">
      <w:bodyDiv w:val="1"/>
      <w:marLeft w:val="0"/>
      <w:marRight w:val="0"/>
      <w:marTop w:val="0"/>
      <w:marBottom w:val="0"/>
      <w:divBdr>
        <w:top w:val="none" w:sz="0" w:space="0" w:color="auto"/>
        <w:left w:val="none" w:sz="0" w:space="0" w:color="auto"/>
        <w:bottom w:val="none" w:sz="0" w:space="0" w:color="auto"/>
        <w:right w:val="none" w:sz="0" w:space="0" w:color="auto"/>
      </w:divBdr>
    </w:div>
    <w:div w:id="1196457484">
      <w:bodyDiv w:val="1"/>
      <w:marLeft w:val="0"/>
      <w:marRight w:val="0"/>
      <w:marTop w:val="0"/>
      <w:marBottom w:val="0"/>
      <w:divBdr>
        <w:top w:val="none" w:sz="0" w:space="0" w:color="auto"/>
        <w:left w:val="none" w:sz="0" w:space="0" w:color="auto"/>
        <w:bottom w:val="none" w:sz="0" w:space="0" w:color="auto"/>
        <w:right w:val="none" w:sz="0" w:space="0" w:color="auto"/>
      </w:divBdr>
    </w:div>
    <w:div w:id="1269579438">
      <w:bodyDiv w:val="1"/>
      <w:marLeft w:val="0"/>
      <w:marRight w:val="0"/>
      <w:marTop w:val="0"/>
      <w:marBottom w:val="0"/>
      <w:divBdr>
        <w:top w:val="none" w:sz="0" w:space="0" w:color="auto"/>
        <w:left w:val="none" w:sz="0" w:space="0" w:color="auto"/>
        <w:bottom w:val="none" w:sz="0" w:space="0" w:color="auto"/>
        <w:right w:val="none" w:sz="0" w:space="0" w:color="auto"/>
      </w:divBdr>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390574370">
      <w:bodyDiv w:val="1"/>
      <w:marLeft w:val="0"/>
      <w:marRight w:val="0"/>
      <w:marTop w:val="0"/>
      <w:marBottom w:val="0"/>
      <w:divBdr>
        <w:top w:val="none" w:sz="0" w:space="0" w:color="auto"/>
        <w:left w:val="none" w:sz="0" w:space="0" w:color="auto"/>
        <w:bottom w:val="none" w:sz="0" w:space="0" w:color="auto"/>
        <w:right w:val="none" w:sz="0" w:space="0" w:color="auto"/>
      </w:divBdr>
    </w:div>
    <w:div w:id="1486584308">
      <w:bodyDiv w:val="1"/>
      <w:marLeft w:val="0"/>
      <w:marRight w:val="0"/>
      <w:marTop w:val="0"/>
      <w:marBottom w:val="0"/>
      <w:divBdr>
        <w:top w:val="none" w:sz="0" w:space="0" w:color="auto"/>
        <w:left w:val="none" w:sz="0" w:space="0" w:color="auto"/>
        <w:bottom w:val="none" w:sz="0" w:space="0" w:color="auto"/>
        <w:right w:val="none" w:sz="0" w:space="0" w:color="auto"/>
      </w:divBdr>
    </w:div>
    <w:div w:id="1625581535">
      <w:bodyDiv w:val="1"/>
      <w:marLeft w:val="0"/>
      <w:marRight w:val="0"/>
      <w:marTop w:val="0"/>
      <w:marBottom w:val="0"/>
      <w:divBdr>
        <w:top w:val="none" w:sz="0" w:space="0" w:color="auto"/>
        <w:left w:val="none" w:sz="0" w:space="0" w:color="auto"/>
        <w:bottom w:val="none" w:sz="0" w:space="0" w:color="auto"/>
        <w:right w:val="none" w:sz="0" w:space="0" w:color="auto"/>
      </w:divBdr>
    </w:div>
    <w:div w:id="198712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642DC-0772-4156-8D0E-FF0DECE4D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913</Words>
  <Characters>5209</Characters>
  <Application>Microsoft Office Word</Application>
  <DocSecurity>0</DocSecurity>
  <Lines>43</Lines>
  <Paragraphs>12</Paragraphs>
  <ScaleCrop>false</ScaleCrop>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2017-09-28T19:46:00Z</dcterms:created>
  <dcterms:modified xsi:type="dcterms:W3CDTF">2017-09-28T19:46:00Z</dcterms:modified>
</cp:coreProperties>
</file>